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602"/>
        <w:gridCol w:w="4602"/>
        <w:gridCol w:w="4602"/>
      </w:tblGrid>
      <w:tr>
        <w:tc>
          <w:tcPr>
            <w:tcW w:type="dxa" w:w="4602"/>
            <w:vAlign w:val="center"/>
          </w:tcPr>
          <w:p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>
              <w:rPr>
                <w:rFonts w:ascii="Arial" w:hAnsi="Arial" w:eastAsia="宋体"/>
                <w:sz w:val="40"/>
              </w:rPr>
              <w:t>鹿茸饮片检测报告</w:t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/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4"/>
        <w:gridCol w:w="1534"/>
        <w:gridCol w:w="1534"/>
        <w:gridCol w:w="1534"/>
        <w:gridCol w:w="1534"/>
        <w:gridCol w:w="1534"/>
        <w:gridCol w:w="1534"/>
        <w:gridCol w:w="1534"/>
        <w:gridCol w:w="1534"/>
      </w:tblGrid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产品名称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图像</w:t>
            </w:r>
          </w:p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3040" cy="14630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707-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46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编号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0707-1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7373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检测人员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赵登才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委托单位/人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检测日期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2025-07-07 17:42:11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/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总氨基酸含量参考: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蜡片&gt;=55%;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粉片&gt;=46%;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总氮含量参考: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蜡片&gt;=10.8%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粉片&gt;=7.8%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预测结果仅作参考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来源：中华人民共和国农业行业标准(NY/T 1162-2006)</w:t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检测地点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能源学院T1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使用仪器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鹿茸饮片智能分等仪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红外光谱</w:t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检测耗时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2秒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544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分等结果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纱片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总氨基酸含量范围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总氮含量范围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批准人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主管1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审核人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t>主管2</w:t>
            </w:r>
          </w:p>
        </w:tc>
      </w:tr>
    </w:tbl>
    <w:sectPr w:rsidR="00FC693F" w:rsidRPr="0006063C" w:rsidSect="00034616">
      <w:headerReference w:type="default" r:id="rId9"/>
      <w:footerReference w:type="default" r:id="rId10"/>
      <w:pgSz w:w="17405" w:h="12359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声明：本报告仅限委托方内部以科学研究、质量控制、产品研发等为目的而使用，不用于纠纷解决、仲裁、诉讼等法律用途和其他社会证明用途。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中科院大连化学物理研究所&amp;东阿阿胶股份有限公司</w:t>
      <w:br/>
      <w:t>鹿产业创新研究院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